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F1522" w14:textId="1A31BB88" w:rsidR="003F521B" w:rsidRDefault="04F7718D" w:rsidP="003F521B">
      <w:pPr>
        <w:jc w:val="center"/>
        <w:rPr>
          <w:b/>
          <w:bCs/>
          <w:sz w:val="32"/>
          <w:szCs w:val="32"/>
          <w:u w:val="single"/>
        </w:rPr>
      </w:pPr>
      <w:r w:rsidRPr="7D0EDA0A">
        <w:rPr>
          <w:b/>
          <w:bCs/>
          <w:sz w:val="32"/>
          <w:szCs w:val="32"/>
          <w:u w:val="single"/>
        </w:rPr>
        <w:t>DRAFTING COMMITTEE MEETING</w:t>
      </w:r>
    </w:p>
    <w:p w14:paraId="5CEA6D20" w14:textId="77777777" w:rsidR="003F521B" w:rsidRDefault="003F521B" w:rsidP="003F521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Microsoft Teams</w:t>
      </w:r>
    </w:p>
    <w:p w14:paraId="2869522C" w14:textId="01F8758A" w:rsidR="003F521B" w:rsidRDefault="00DB7F5A" w:rsidP="003F521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4</w:t>
      </w:r>
      <w:r w:rsidR="003F521B" w:rsidRPr="00440665">
        <w:rPr>
          <w:b/>
          <w:bCs/>
          <w:sz w:val="32"/>
          <w:szCs w:val="32"/>
          <w:u w:val="single"/>
          <w:vertAlign w:val="superscript"/>
        </w:rPr>
        <w:t>th</w:t>
      </w:r>
      <w:r w:rsidR="003F521B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October</w:t>
      </w:r>
      <w:r w:rsidR="003F521B">
        <w:rPr>
          <w:b/>
          <w:bCs/>
          <w:sz w:val="32"/>
          <w:szCs w:val="32"/>
          <w:u w:val="single"/>
        </w:rPr>
        <w:t xml:space="preserve"> from 14:00 to 17:00</w:t>
      </w:r>
    </w:p>
    <w:p w14:paraId="6B822AE3" w14:textId="57080E2C" w:rsidR="003F521B" w:rsidRDefault="2CDD5E9D" w:rsidP="003F521B">
      <w:pPr>
        <w:jc w:val="center"/>
        <w:rPr>
          <w:b/>
          <w:bCs/>
          <w:sz w:val="32"/>
          <w:szCs w:val="32"/>
          <w:u w:val="single"/>
        </w:rPr>
      </w:pPr>
      <w:r w:rsidRPr="4C23CE14">
        <w:rPr>
          <w:b/>
          <w:bCs/>
          <w:sz w:val="32"/>
          <w:szCs w:val="32"/>
          <w:u w:val="single"/>
        </w:rPr>
        <w:t>Minutes</w:t>
      </w:r>
    </w:p>
    <w:p w14:paraId="47A43C4C" w14:textId="77777777" w:rsidR="003F521B" w:rsidRDefault="003F521B" w:rsidP="0097675D">
      <w:pPr>
        <w:jc w:val="both"/>
        <w:rPr>
          <w:lang w:eastAsia="en-US"/>
        </w:rPr>
      </w:pPr>
    </w:p>
    <w:p w14:paraId="094D09F6" w14:textId="77777777" w:rsidR="00DB7F5A" w:rsidRDefault="00DB7F5A" w:rsidP="00DB7F5A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4C23CE14">
        <w:rPr>
          <w:color w:val="000000" w:themeColor="text1"/>
        </w:rPr>
        <w:t>Meeting was opened by the Chairperson</w:t>
      </w:r>
    </w:p>
    <w:p w14:paraId="0A3B0F55" w14:textId="77777777" w:rsidR="00DB7F5A" w:rsidRPr="00DB7F5A" w:rsidRDefault="00DB7F5A" w:rsidP="00DB7F5A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>
        <w:t>Votes were taken regarding participation of additional NEMO Committee member to the Drafting Committee. The majority vote has been achieved and the participation has been approved.</w:t>
      </w:r>
    </w:p>
    <w:p w14:paraId="1A80A50E" w14:textId="77777777" w:rsidR="00DB7F5A" w:rsidRPr="00DB7F5A" w:rsidRDefault="00DB7F5A" w:rsidP="00DB7F5A">
      <w:pPr>
        <w:pStyle w:val="ListParagraph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>
        <w:t>A vote was taken regarding participation of the full Development Team at a Workshop with the Drafting Committee. The vote was unanimous, and the Development Team has been invited to the 11</w:t>
      </w:r>
      <w:r w:rsidRPr="4C23CE14">
        <w:rPr>
          <w:vertAlign w:val="superscript"/>
        </w:rPr>
        <w:t>th</w:t>
      </w:r>
      <w:r>
        <w:t xml:space="preserve"> October Workshop.</w:t>
      </w:r>
    </w:p>
    <w:p w14:paraId="352A566B" w14:textId="6AA55749" w:rsidR="00DB7F5A" w:rsidRDefault="003F521B" w:rsidP="00DB7F5A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 w:rsidRPr="4C23CE14">
        <w:rPr>
          <w:lang w:eastAsia="en-US"/>
        </w:rPr>
        <w:t>The meeting was followed by Tour de Table</w:t>
      </w:r>
      <w:r w:rsidR="00DB7F5A" w:rsidRPr="4C23CE14">
        <w:rPr>
          <w:lang w:eastAsia="en-US"/>
        </w:rPr>
        <w:t xml:space="preserve"> where the new members from SmartEN and T&amp;D introduced themselves</w:t>
      </w:r>
    </w:p>
    <w:p w14:paraId="6D16E213" w14:textId="7546E94D" w:rsidR="003F521B" w:rsidRDefault="003F521B" w:rsidP="007C2AFA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 w:rsidRPr="4C23CE14">
        <w:rPr>
          <w:lang w:eastAsia="en-US"/>
        </w:rPr>
        <w:t>The agenda was approved without any objections</w:t>
      </w:r>
    </w:p>
    <w:p w14:paraId="1635397C" w14:textId="0866BCC3" w:rsidR="00DB7F5A" w:rsidRDefault="7F8FF532" w:rsidP="00DB7F5A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 w:rsidRPr="4C23CE14">
        <w:rPr>
          <w:lang w:eastAsia="en-US"/>
        </w:rPr>
        <w:t>A r</w:t>
      </w:r>
      <w:r w:rsidR="00DB7F5A" w:rsidRPr="4C23CE14">
        <w:rPr>
          <w:lang w:eastAsia="en-US"/>
        </w:rPr>
        <w:t>ecap on the progress</w:t>
      </w:r>
      <w:r w:rsidR="0D16D082" w:rsidRPr="4C23CE14">
        <w:rPr>
          <w:lang w:eastAsia="en-US"/>
        </w:rPr>
        <w:t xml:space="preserve"> was presented.</w:t>
      </w:r>
    </w:p>
    <w:p w14:paraId="5740BD90" w14:textId="5BE78EA5" w:rsidR="67C52C50" w:rsidRDefault="67C52C50" w:rsidP="4C23CE14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lang w:eastAsia="en-US"/>
        </w:rPr>
      </w:pPr>
      <w:r w:rsidRPr="4C23CE14">
        <w:rPr>
          <w:lang w:eastAsia="en-US"/>
        </w:rPr>
        <w:t>Logistics were arranged for review of the draft by the Drafting Committee in parallel with legal review, in advance of the public consultation.</w:t>
      </w:r>
    </w:p>
    <w:p w14:paraId="3C7127D5" w14:textId="73E05701" w:rsidR="00DB7F5A" w:rsidRDefault="00DB7F5A" w:rsidP="00C36E3A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 w:rsidRPr="4C23CE14">
        <w:rPr>
          <w:lang w:eastAsia="en-US"/>
        </w:rPr>
        <w:t>Chairperson informed about CEER</w:t>
      </w:r>
      <w:r w:rsidR="29617EF9" w:rsidRPr="4C23CE14">
        <w:rPr>
          <w:lang w:eastAsia="en-US"/>
        </w:rPr>
        <w:t>’s</w:t>
      </w:r>
      <w:r w:rsidRPr="4C23CE14">
        <w:rPr>
          <w:lang w:eastAsia="en-US"/>
        </w:rPr>
        <w:t xml:space="preserve"> decision not </w:t>
      </w:r>
      <w:r w:rsidR="00C36E3A" w:rsidRPr="4C23CE14">
        <w:rPr>
          <w:lang w:eastAsia="en-US"/>
        </w:rPr>
        <w:t xml:space="preserve">to </w:t>
      </w:r>
      <w:r w:rsidRPr="4C23CE14">
        <w:rPr>
          <w:lang w:eastAsia="en-US"/>
        </w:rPr>
        <w:t xml:space="preserve">participate in the Drafting Committee. </w:t>
      </w:r>
      <w:r w:rsidR="082FBF70" w:rsidRPr="4C23CE14">
        <w:rPr>
          <w:lang w:eastAsia="en-US"/>
        </w:rPr>
        <w:t xml:space="preserve">A request for </w:t>
      </w:r>
      <w:r w:rsidR="5DAA23AF" w:rsidRPr="4C23CE14">
        <w:rPr>
          <w:lang w:eastAsia="en-US"/>
        </w:rPr>
        <w:t xml:space="preserve">an </w:t>
      </w:r>
      <w:r w:rsidR="00C36E3A" w:rsidRPr="4C23CE14">
        <w:rPr>
          <w:lang w:eastAsia="en-US"/>
        </w:rPr>
        <w:t xml:space="preserve">ACER NRA observer </w:t>
      </w:r>
      <w:r w:rsidR="4EDAA4C7" w:rsidRPr="4C23CE14">
        <w:rPr>
          <w:lang w:eastAsia="en-US"/>
        </w:rPr>
        <w:t xml:space="preserve">will need to </w:t>
      </w:r>
      <w:r w:rsidR="00C36E3A" w:rsidRPr="4C23CE14">
        <w:rPr>
          <w:lang w:eastAsia="en-US"/>
        </w:rPr>
        <w:t>be confirmed by the Drafting Committee vote.</w:t>
      </w:r>
    </w:p>
    <w:p w14:paraId="2EA5E35D" w14:textId="0B85E252" w:rsidR="00C36E3A" w:rsidRDefault="00C36E3A" w:rsidP="00C36E3A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 w:rsidRPr="4C23CE14">
        <w:rPr>
          <w:lang w:eastAsia="en-US"/>
        </w:rPr>
        <w:t>The Terms of Reference of the Drafting Committee was voted upon and unanimously approved.</w:t>
      </w:r>
    </w:p>
    <w:p w14:paraId="30B2CFAF" w14:textId="00D06E78" w:rsidR="00C36E3A" w:rsidRDefault="00C36E3A" w:rsidP="4C23CE14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lang w:eastAsia="en-US"/>
        </w:rPr>
      </w:pPr>
      <w:r w:rsidRPr="4C23CE14">
        <w:rPr>
          <w:lang w:eastAsia="en-US"/>
        </w:rPr>
        <w:t xml:space="preserve">General Chapter sub-group reminded the overall scope of the Network Code on Cybersecurity, the legislative context, and the drafting principles. </w:t>
      </w:r>
      <w:r w:rsidR="5A35F89D" w:rsidRPr="4C23CE14">
        <w:rPr>
          <w:lang w:eastAsia="en-US"/>
        </w:rPr>
        <w:t>T</w:t>
      </w:r>
      <w:r w:rsidRPr="4C23CE14">
        <w:rPr>
          <w:lang w:eastAsia="en-US"/>
        </w:rPr>
        <w:t xml:space="preserve">he requirements included </w:t>
      </w:r>
      <w:r w:rsidR="2DEB1FDA" w:rsidRPr="4C23CE14">
        <w:rPr>
          <w:lang w:eastAsia="en-US"/>
        </w:rPr>
        <w:t xml:space="preserve">were presented </w:t>
      </w:r>
      <w:r w:rsidRPr="4C23CE14">
        <w:rPr>
          <w:lang w:eastAsia="en-US"/>
        </w:rPr>
        <w:t xml:space="preserve">and </w:t>
      </w:r>
      <w:r w:rsidR="5877BD8D" w:rsidRPr="4C23CE14">
        <w:rPr>
          <w:lang w:eastAsia="en-US"/>
        </w:rPr>
        <w:t xml:space="preserve">the </w:t>
      </w:r>
      <w:r w:rsidRPr="4C23CE14">
        <w:rPr>
          <w:lang w:eastAsia="en-US"/>
        </w:rPr>
        <w:t xml:space="preserve">methodology approach of Network Codes </w:t>
      </w:r>
      <w:r w:rsidR="07932DEB" w:rsidRPr="4C23CE14">
        <w:rPr>
          <w:lang w:eastAsia="en-US"/>
        </w:rPr>
        <w:t xml:space="preserve">was described </w:t>
      </w:r>
      <w:r w:rsidRPr="4C23CE14">
        <w:rPr>
          <w:lang w:eastAsia="en-US"/>
        </w:rPr>
        <w:t>where more specific details are defined during the implementation phase.</w:t>
      </w:r>
    </w:p>
    <w:p w14:paraId="74F0A6D5" w14:textId="3544C606" w:rsidR="00C36E3A" w:rsidRDefault="00C36E3A" w:rsidP="00C36E3A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 w:rsidRPr="4C23CE14">
        <w:rPr>
          <w:lang w:eastAsia="en-US"/>
        </w:rPr>
        <w:t>T</w:t>
      </w:r>
      <w:r w:rsidR="6DE8C86C" w:rsidRPr="4C23CE14">
        <w:rPr>
          <w:lang w:eastAsia="en-US"/>
        </w:rPr>
        <w:t xml:space="preserve">he process of </w:t>
      </w:r>
      <w:r w:rsidRPr="4C23CE14">
        <w:rPr>
          <w:lang w:eastAsia="en-US"/>
        </w:rPr>
        <w:t xml:space="preserve">elaboration, adoption, and consultation </w:t>
      </w:r>
      <w:r w:rsidR="0D49A059" w:rsidRPr="4C23CE14">
        <w:rPr>
          <w:lang w:eastAsia="en-US"/>
        </w:rPr>
        <w:t>(</w:t>
      </w:r>
      <w:r w:rsidRPr="4C23CE14">
        <w:rPr>
          <w:lang w:eastAsia="en-US"/>
        </w:rPr>
        <w:t xml:space="preserve">as </w:t>
      </w:r>
      <w:r w:rsidR="5E656607" w:rsidRPr="4C23CE14">
        <w:rPr>
          <w:lang w:eastAsia="en-US"/>
        </w:rPr>
        <w:t>was followed for</w:t>
      </w:r>
      <w:r w:rsidRPr="4C23CE14">
        <w:rPr>
          <w:lang w:eastAsia="en-US"/>
        </w:rPr>
        <w:t xml:space="preserve"> CACL/FCA/EBGL/SOGL legislation</w:t>
      </w:r>
      <w:r w:rsidR="2EBB3968" w:rsidRPr="4C23CE14">
        <w:rPr>
          <w:lang w:eastAsia="en-US"/>
        </w:rPr>
        <w:t>) was discussed to help understand the int</w:t>
      </w:r>
      <w:r w:rsidR="415D6A38" w:rsidRPr="4C23CE14">
        <w:rPr>
          <w:lang w:eastAsia="en-US"/>
        </w:rPr>
        <w:t>en</w:t>
      </w:r>
      <w:r w:rsidR="2299713A" w:rsidRPr="4C23CE14">
        <w:rPr>
          <w:lang w:eastAsia="en-US"/>
        </w:rPr>
        <w:t>ded process</w:t>
      </w:r>
      <w:r w:rsidR="415D6A38" w:rsidRPr="4C23CE14">
        <w:rPr>
          <w:lang w:eastAsia="en-US"/>
        </w:rPr>
        <w:t xml:space="preserve"> for this Network Code.</w:t>
      </w:r>
    </w:p>
    <w:p w14:paraId="7A022471" w14:textId="6B8A2A53" w:rsidR="00C36E3A" w:rsidRDefault="00C36E3A" w:rsidP="00C36E3A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 w:rsidRPr="4C23CE14">
        <w:rPr>
          <w:lang w:eastAsia="en-US"/>
        </w:rPr>
        <w:t xml:space="preserve">Content of </w:t>
      </w:r>
      <w:r w:rsidR="588301C5" w:rsidRPr="4C23CE14">
        <w:rPr>
          <w:lang w:eastAsia="en-US"/>
        </w:rPr>
        <w:t xml:space="preserve">the </w:t>
      </w:r>
      <w:r w:rsidRPr="4C23CE14">
        <w:rPr>
          <w:lang w:eastAsia="en-US"/>
        </w:rPr>
        <w:t>general chapter was explained especially definitions, protection of sensitive data, scope, and implementation monitoring.</w:t>
      </w:r>
    </w:p>
    <w:p w14:paraId="40AB303D" w14:textId="7981D625" w:rsidR="00C36E3A" w:rsidRDefault="003107E0" w:rsidP="4C23CE14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lang w:eastAsia="en-US"/>
        </w:rPr>
      </w:pPr>
      <w:r w:rsidRPr="4C23CE14">
        <w:rPr>
          <w:lang w:eastAsia="en-US"/>
        </w:rPr>
        <w:t xml:space="preserve">General Chapter sub-group </w:t>
      </w:r>
      <w:r w:rsidR="18DADDCF" w:rsidRPr="4C23CE14">
        <w:rPr>
          <w:lang w:eastAsia="en-US"/>
        </w:rPr>
        <w:t xml:space="preserve">presented </w:t>
      </w:r>
      <w:r w:rsidRPr="4C23CE14">
        <w:rPr>
          <w:lang w:eastAsia="en-US"/>
        </w:rPr>
        <w:t>the topics</w:t>
      </w:r>
      <w:r w:rsidR="00C36E3A" w:rsidRPr="4C23CE14">
        <w:rPr>
          <w:lang w:eastAsia="en-US"/>
        </w:rPr>
        <w:t xml:space="preserve"> of applicability and scope, responsibilities and governance</w:t>
      </w:r>
      <w:r w:rsidR="32F0E1C9" w:rsidRPr="4C23CE14">
        <w:rPr>
          <w:lang w:eastAsia="en-US"/>
        </w:rPr>
        <w:t xml:space="preserve">, and described the challenge of </w:t>
      </w:r>
      <w:r w:rsidR="3A1CB9AF" w:rsidRPr="4C23CE14">
        <w:rPr>
          <w:lang w:eastAsia="en-US"/>
        </w:rPr>
        <w:t xml:space="preserve">not duplicating </w:t>
      </w:r>
      <w:r w:rsidR="32F0E1C9" w:rsidRPr="4C23CE14">
        <w:rPr>
          <w:lang w:eastAsia="en-US"/>
        </w:rPr>
        <w:t>existing require</w:t>
      </w:r>
      <w:r w:rsidR="6015CEEB" w:rsidRPr="4C23CE14">
        <w:rPr>
          <w:lang w:eastAsia="en-US"/>
        </w:rPr>
        <w:t>ments already in place at member state level.</w:t>
      </w:r>
      <w:r w:rsidR="21F98D0D" w:rsidRPr="4C23CE14">
        <w:rPr>
          <w:lang w:eastAsia="en-US"/>
        </w:rPr>
        <w:t xml:space="preserve"> The questions of implementation timelines was raised, for specific requirements in the network code.</w:t>
      </w:r>
    </w:p>
    <w:p w14:paraId="6D766C2C" w14:textId="0BB4B60B" w:rsidR="003107E0" w:rsidRDefault="003107E0" w:rsidP="4C23CE14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lang w:eastAsia="en-US"/>
        </w:rPr>
      </w:pPr>
      <w:bookmarkStart w:id="0" w:name="_Hlk84600132"/>
      <w:r w:rsidRPr="4C23CE14">
        <w:rPr>
          <w:lang w:eastAsia="en-US"/>
        </w:rPr>
        <w:t xml:space="preserve">Sharing of Technical Information sub-group </w:t>
      </w:r>
      <w:bookmarkEnd w:id="0"/>
      <w:r w:rsidRPr="4C23CE14">
        <w:rPr>
          <w:lang w:eastAsia="en-US"/>
        </w:rPr>
        <w:t xml:space="preserve">introduced its group members and its scope and presented an update of their progress. </w:t>
      </w:r>
    </w:p>
    <w:p w14:paraId="01C794F3" w14:textId="55C7FD0E" w:rsidR="003107E0" w:rsidRDefault="003107E0" w:rsidP="00896DB5">
      <w:pPr>
        <w:pStyle w:val="ListParagraph"/>
        <w:numPr>
          <w:ilvl w:val="0"/>
          <w:numId w:val="2"/>
        </w:numPr>
        <w:jc w:val="both"/>
        <w:rPr>
          <w:lang w:eastAsia="en-US"/>
        </w:rPr>
      </w:pPr>
      <w:r w:rsidRPr="4C23CE14">
        <w:rPr>
          <w:lang w:eastAsia="en-US"/>
        </w:rPr>
        <w:t>Sharing of Technical Information sub-group presented topics on:</w:t>
      </w:r>
    </w:p>
    <w:p w14:paraId="1C8AC9FC" w14:textId="77777777" w:rsidR="003107E0" w:rsidRDefault="003107E0" w:rsidP="003107E0">
      <w:pPr>
        <w:pStyle w:val="ListParagraph"/>
        <w:numPr>
          <w:ilvl w:val="0"/>
          <w:numId w:val="8"/>
        </w:numPr>
        <w:jc w:val="both"/>
        <w:rPr>
          <w:lang w:eastAsia="en-US"/>
        </w:rPr>
      </w:pPr>
      <w:r w:rsidRPr="4C23CE14">
        <w:rPr>
          <w:lang w:eastAsia="en-US"/>
        </w:rPr>
        <w:t>Mandatory SOC for critical risk entities.</w:t>
      </w:r>
    </w:p>
    <w:p w14:paraId="7FC8BAFF" w14:textId="77777777" w:rsidR="003107E0" w:rsidRDefault="003107E0" w:rsidP="003107E0">
      <w:pPr>
        <w:pStyle w:val="ListParagraph"/>
        <w:numPr>
          <w:ilvl w:val="0"/>
          <w:numId w:val="8"/>
        </w:numPr>
        <w:jc w:val="both"/>
        <w:rPr>
          <w:lang w:eastAsia="en-US"/>
        </w:rPr>
      </w:pPr>
      <w:r w:rsidRPr="4C23CE14">
        <w:rPr>
          <w:lang w:eastAsia="en-US"/>
        </w:rPr>
        <w:t>Defining what is a reportable cybersecurity incident</w:t>
      </w:r>
    </w:p>
    <w:p w14:paraId="09931A4A" w14:textId="77777777" w:rsidR="003107E0" w:rsidRDefault="003107E0" w:rsidP="003107E0">
      <w:pPr>
        <w:pStyle w:val="ListParagraph"/>
        <w:numPr>
          <w:ilvl w:val="0"/>
          <w:numId w:val="8"/>
        </w:numPr>
        <w:jc w:val="both"/>
        <w:rPr>
          <w:lang w:eastAsia="en-US"/>
        </w:rPr>
      </w:pPr>
      <w:r w:rsidRPr="4C23CE14">
        <w:rPr>
          <w:lang w:eastAsia="en-US"/>
        </w:rPr>
        <w:t>Requirements for appointed CSIRT for info collection, anonymisation, and dissemination</w:t>
      </w:r>
    </w:p>
    <w:p w14:paraId="255838BD" w14:textId="448575AA" w:rsidR="003107E0" w:rsidRDefault="003107E0" w:rsidP="003107E0">
      <w:pPr>
        <w:pStyle w:val="ListParagraph"/>
        <w:numPr>
          <w:ilvl w:val="0"/>
          <w:numId w:val="8"/>
        </w:numPr>
        <w:jc w:val="both"/>
        <w:rPr>
          <w:lang w:eastAsia="en-US"/>
        </w:rPr>
      </w:pPr>
      <w:r w:rsidRPr="4C23CE14">
        <w:rPr>
          <w:lang w:eastAsia="en-US"/>
        </w:rPr>
        <w:t>Definition of cross border electricity crisis as an incident</w:t>
      </w:r>
    </w:p>
    <w:p w14:paraId="3F81A0C9" w14:textId="6B021FE6" w:rsidR="003107E0" w:rsidRDefault="003107E0" w:rsidP="003107E0">
      <w:pPr>
        <w:pStyle w:val="ListParagraph"/>
        <w:numPr>
          <w:ilvl w:val="0"/>
          <w:numId w:val="8"/>
        </w:numPr>
        <w:jc w:val="both"/>
        <w:rPr>
          <w:lang w:eastAsia="en-US"/>
        </w:rPr>
      </w:pPr>
      <w:r w:rsidRPr="4C23CE14">
        <w:rPr>
          <w:lang w:eastAsia="en-US"/>
        </w:rPr>
        <w:t>Difference between cyber-attack and non cyber operational incidents</w:t>
      </w:r>
    </w:p>
    <w:p w14:paraId="63E8B2A7" w14:textId="77777777" w:rsidR="003107E0" w:rsidRDefault="003107E0" w:rsidP="003107E0">
      <w:pPr>
        <w:pStyle w:val="ListParagraph"/>
        <w:numPr>
          <w:ilvl w:val="0"/>
          <w:numId w:val="8"/>
        </w:numPr>
        <w:jc w:val="both"/>
        <w:rPr>
          <w:lang w:eastAsia="en-US"/>
        </w:rPr>
      </w:pPr>
      <w:r w:rsidRPr="4C23CE14">
        <w:rPr>
          <w:lang w:eastAsia="en-US"/>
        </w:rPr>
        <w:t xml:space="preserve">Process cycle for cyber security exercises </w:t>
      </w:r>
    </w:p>
    <w:p w14:paraId="5B24553C" w14:textId="2ED257A1" w:rsidR="003107E0" w:rsidRDefault="003107E0" w:rsidP="003107E0">
      <w:pPr>
        <w:pStyle w:val="ListParagraph"/>
        <w:numPr>
          <w:ilvl w:val="0"/>
          <w:numId w:val="8"/>
        </w:numPr>
        <w:jc w:val="both"/>
        <w:rPr>
          <w:lang w:eastAsia="en-US"/>
        </w:rPr>
      </w:pPr>
      <w:r w:rsidRPr="4C23CE14">
        <w:rPr>
          <w:lang w:eastAsia="en-US"/>
        </w:rPr>
        <w:t>Mandatory exercises for high-risk entities</w:t>
      </w:r>
      <w:r w:rsidR="0D94FA4C" w:rsidRPr="4C23CE14">
        <w:rPr>
          <w:lang w:eastAsia="en-US"/>
        </w:rPr>
        <w:t xml:space="preserve"> – a question of</w:t>
      </w:r>
      <w:r w:rsidRPr="4C23CE14">
        <w:rPr>
          <w:lang w:eastAsia="en-US"/>
        </w:rPr>
        <w:t xml:space="preserve"> w</w:t>
      </w:r>
      <w:r w:rsidR="13FB90B0" w:rsidRPr="4C23CE14">
        <w:rPr>
          <w:lang w:eastAsia="en-US"/>
        </w:rPr>
        <w:t xml:space="preserve">hat was intended in </w:t>
      </w:r>
      <w:r w:rsidRPr="4C23CE14">
        <w:rPr>
          <w:lang w:eastAsia="en-US"/>
        </w:rPr>
        <w:t>the Framework Guidelines.</w:t>
      </w:r>
    </w:p>
    <w:p w14:paraId="7164C25C" w14:textId="300E87BE" w:rsidR="003107E0" w:rsidRDefault="003107E0" w:rsidP="003107E0">
      <w:pPr>
        <w:pStyle w:val="ListParagraph"/>
        <w:numPr>
          <w:ilvl w:val="0"/>
          <w:numId w:val="8"/>
        </w:numPr>
        <w:jc w:val="both"/>
        <w:rPr>
          <w:lang w:eastAsia="en-US"/>
        </w:rPr>
      </w:pPr>
      <w:r w:rsidRPr="4C23CE14">
        <w:rPr>
          <w:lang w:eastAsia="en-US"/>
        </w:rPr>
        <w:t>National CSIRTs and their operations</w:t>
      </w:r>
      <w:r w:rsidR="52A09D83" w:rsidRPr="4C23CE14">
        <w:rPr>
          <w:lang w:eastAsia="en-US"/>
        </w:rPr>
        <w:t xml:space="preserve"> </w:t>
      </w:r>
      <w:r w:rsidRPr="4C23CE14">
        <w:rPr>
          <w:lang w:eastAsia="en-US"/>
        </w:rPr>
        <w:t>are not operating 24/7. Timeframe</w:t>
      </w:r>
      <w:r w:rsidR="4489DC9E" w:rsidRPr="4C23CE14">
        <w:rPr>
          <w:lang w:eastAsia="en-US"/>
        </w:rPr>
        <w:t>s need to take this into account when requirements are set.</w:t>
      </w:r>
      <w:r w:rsidRPr="4C23CE14">
        <w:rPr>
          <w:lang w:eastAsia="en-US"/>
        </w:rPr>
        <w:t xml:space="preserve"> </w:t>
      </w:r>
    </w:p>
    <w:p w14:paraId="74B7B878" w14:textId="5FF1487B" w:rsidR="003107E0" w:rsidRDefault="3A0E8095" w:rsidP="003107E0">
      <w:pPr>
        <w:pStyle w:val="ListParagraph"/>
        <w:numPr>
          <w:ilvl w:val="0"/>
          <w:numId w:val="9"/>
        </w:numPr>
        <w:jc w:val="both"/>
        <w:rPr>
          <w:lang w:eastAsia="en-US"/>
        </w:rPr>
      </w:pPr>
      <w:r w:rsidRPr="4C23CE14">
        <w:rPr>
          <w:lang w:eastAsia="en-US"/>
        </w:rPr>
        <w:lastRenderedPageBreak/>
        <w:t xml:space="preserve">Existing cybersecurity excercises in place across Europe were discussed and the interaction with Network Code requirements and timelines was clarified. </w:t>
      </w:r>
      <w:r w:rsidR="003107E0" w:rsidRPr="4C23CE14">
        <w:rPr>
          <w:lang w:eastAsia="en-US"/>
        </w:rPr>
        <w:t>Network Code on Cybersecurity exercises c</w:t>
      </w:r>
      <w:r w:rsidR="407516F9" w:rsidRPr="4C23CE14">
        <w:rPr>
          <w:lang w:eastAsia="en-US"/>
        </w:rPr>
        <w:t>ould</w:t>
      </w:r>
      <w:r w:rsidR="003107E0" w:rsidRPr="4C23CE14">
        <w:rPr>
          <w:lang w:eastAsia="en-US"/>
        </w:rPr>
        <w:t xml:space="preserve"> be interlinked time wise with existing processes.</w:t>
      </w:r>
    </w:p>
    <w:p w14:paraId="279DCEC3" w14:textId="22C5B48D" w:rsidR="001532FF" w:rsidRDefault="003107E0" w:rsidP="003107E0">
      <w:pPr>
        <w:pStyle w:val="ListParagraph"/>
        <w:numPr>
          <w:ilvl w:val="0"/>
          <w:numId w:val="9"/>
        </w:numPr>
        <w:jc w:val="both"/>
        <w:rPr>
          <w:lang w:eastAsia="en-US"/>
        </w:rPr>
      </w:pPr>
      <w:r w:rsidRPr="4C23CE14">
        <w:rPr>
          <w:lang w:eastAsia="en-US"/>
        </w:rPr>
        <w:t>C</w:t>
      </w:r>
      <w:r w:rsidR="49604C1C" w:rsidRPr="4C23CE14">
        <w:rPr>
          <w:lang w:eastAsia="en-US"/>
        </w:rPr>
        <w:t>ooperation with C</w:t>
      </w:r>
      <w:r w:rsidRPr="4C23CE14">
        <w:rPr>
          <w:lang w:eastAsia="en-US"/>
        </w:rPr>
        <w:t>SIRT experts was discussed a</w:t>
      </w:r>
      <w:r w:rsidR="6938B541" w:rsidRPr="4C23CE14">
        <w:rPr>
          <w:lang w:eastAsia="en-US"/>
        </w:rPr>
        <w:t>nd t</w:t>
      </w:r>
      <w:r w:rsidR="001532FF" w:rsidRPr="4C23CE14">
        <w:rPr>
          <w:lang w:eastAsia="en-US"/>
        </w:rPr>
        <w:t>he Drafting Committee will be informed on the outcome</w:t>
      </w:r>
      <w:r w:rsidR="349AE4FD" w:rsidRPr="4C23CE14">
        <w:rPr>
          <w:lang w:eastAsia="en-US"/>
        </w:rPr>
        <w:t xml:space="preserve"> of this cooperation.</w:t>
      </w:r>
    </w:p>
    <w:p w14:paraId="1E5D6479" w14:textId="0DB32336" w:rsidR="001532FF" w:rsidRDefault="003107E0" w:rsidP="003107E0">
      <w:pPr>
        <w:pStyle w:val="ListParagraph"/>
        <w:numPr>
          <w:ilvl w:val="0"/>
          <w:numId w:val="9"/>
        </w:numPr>
        <w:jc w:val="both"/>
        <w:rPr>
          <w:lang w:eastAsia="en-US"/>
        </w:rPr>
      </w:pPr>
      <w:r w:rsidRPr="4C23CE14">
        <w:rPr>
          <w:lang w:eastAsia="en-US"/>
        </w:rPr>
        <w:t>Supply Chain Security, Certification and Cross Border Cyber Risk Management and Functional Security Requirements sub-groups held a common presentation. They presented the concept of a combined top down and bottom-up risk assessment approach proposal</w:t>
      </w:r>
      <w:r w:rsidR="5805D85F" w:rsidRPr="4C23CE14">
        <w:rPr>
          <w:lang w:eastAsia="en-US"/>
        </w:rPr>
        <w:t xml:space="preserve"> including timelines and division of deliverables.</w:t>
      </w:r>
    </w:p>
    <w:p w14:paraId="2B268683" w14:textId="363511CE" w:rsidR="001532FF" w:rsidRDefault="5805D85F" w:rsidP="003107E0">
      <w:pPr>
        <w:pStyle w:val="ListParagraph"/>
        <w:numPr>
          <w:ilvl w:val="0"/>
          <w:numId w:val="9"/>
        </w:numPr>
        <w:jc w:val="both"/>
        <w:rPr>
          <w:lang w:eastAsia="en-US"/>
        </w:rPr>
      </w:pPr>
      <w:r w:rsidRPr="4C23CE14">
        <w:rPr>
          <w:lang w:eastAsia="en-US"/>
        </w:rPr>
        <w:t>The dynamic nature of the implementation work, regarding scope and challenging timelines, was discussed.</w:t>
      </w:r>
    </w:p>
    <w:p w14:paraId="4ED0B0CE" w14:textId="3788DA6F" w:rsidR="001532FF" w:rsidRDefault="5805D85F" w:rsidP="003107E0">
      <w:pPr>
        <w:pStyle w:val="ListParagraph"/>
        <w:numPr>
          <w:ilvl w:val="0"/>
          <w:numId w:val="9"/>
        </w:numPr>
        <w:jc w:val="both"/>
        <w:rPr>
          <w:lang w:eastAsia="en-US"/>
        </w:rPr>
      </w:pPr>
      <w:r w:rsidRPr="4C23CE14">
        <w:rPr>
          <w:lang w:eastAsia="en-US"/>
        </w:rPr>
        <w:t xml:space="preserve">The </w:t>
      </w:r>
      <w:r w:rsidR="6517E6D0" w:rsidRPr="4C23CE14">
        <w:rPr>
          <w:lang w:eastAsia="en-US"/>
        </w:rPr>
        <w:t>interaction with NIS Directive</w:t>
      </w:r>
      <w:r w:rsidR="0E205CCC" w:rsidRPr="4C23CE14">
        <w:rPr>
          <w:lang w:eastAsia="en-US"/>
        </w:rPr>
        <w:t xml:space="preserve"> was discussed, </w:t>
      </w:r>
      <w:r w:rsidR="6517E6D0" w:rsidRPr="4C23CE14">
        <w:rPr>
          <w:lang w:eastAsia="en-US"/>
        </w:rPr>
        <w:t>emphasi</w:t>
      </w:r>
      <w:r w:rsidR="23689F37" w:rsidRPr="4C23CE14">
        <w:rPr>
          <w:lang w:eastAsia="en-US"/>
        </w:rPr>
        <w:t>s</w:t>
      </w:r>
      <w:r w:rsidR="6517E6D0" w:rsidRPr="4C23CE14">
        <w:rPr>
          <w:lang w:eastAsia="en-US"/>
        </w:rPr>
        <w:t>ing that critical supply chain requirements for the energy sector should be cross referenced with NIS Directive requirements.</w:t>
      </w:r>
    </w:p>
    <w:p w14:paraId="09A2DB6F" w14:textId="0E5487EB" w:rsidR="001532FF" w:rsidRDefault="003107E0" w:rsidP="003107E0">
      <w:pPr>
        <w:pStyle w:val="ListParagraph"/>
        <w:numPr>
          <w:ilvl w:val="0"/>
          <w:numId w:val="9"/>
        </w:numPr>
        <w:jc w:val="both"/>
        <w:rPr>
          <w:lang w:eastAsia="en-US"/>
        </w:rPr>
      </w:pPr>
      <w:r w:rsidRPr="4C23CE14">
        <w:rPr>
          <w:lang w:eastAsia="en-US"/>
        </w:rPr>
        <w:t>Sub-groups presented the categories of entities and associated requirements</w:t>
      </w:r>
      <w:r w:rsidR="5BAF306A" w:rsidRPr="4C23CE14">
        <w:rPr>
          <w:lang w:eastAsia="en-US"/>
        </w:rPr>
        <w:t>, and</w:t>
      </w:r>
      <w:r w:rsidR="68B1FF58" w:rsidRPr="4C23CE14">
        <w:rPr>
          <w:lang w:eastAsia="en-US"/>
        </w:rPr>
        <w:t xml:space="preserve"> how</w:t>
      </w:r>
      <w:r w:rsidR="5BAF306A" w:rsidRPr="4C23CE14">
        <w:rPr>
          <w:lang w:eastAsia="en-US"/>
        </w:rPr>
        <w:t xml:space="preserve"> the concept of cybersecurity perimeters described in the Framework Guidelines was elaborated</w:t>
      </w:r>
      <w:r w:rsidR="33C33A97" w:rsidRPr="4C23CE14">
        <w:rPr>
          <w:lang w:eastAsia="en-US"/>
        </w:rPr>
        <w:t xml:space="preserve"> in the Network Code draft.</w:t>
      </w:r>
    </w:p>
    <w:p w14:paraId="23BB9351" w14:textId="382EAC26" w:rsidR="001532FF" w:rsidRDefault="4CAFD885" w:rsidP="003107E0">
      <w:pPr>
        <w:pStyle w:val="ListParagraph"/>
        <w:numPr>
          <w:ilvl w:val="0"/>
          <w:numId w:val="9"/>
        </w:numPr>
        <w:jc w:val="both"/>
        <w:rPr>
          <w:lang w:eastAsia="en-US"/>
        </w:rPr>
      </w:pPr>
      <w:r w:rsidRPr="4C23CE14">
        <w:rPr>
          <w:lang w:eastAsia="en-US"/>
        </w:rPr>
        <w:t>The m</w:t>
      </w:r>
      <w:r w:rsidR="003107E0" w:rsidRPr="4C23CE14">
        <w:rPr>
          <w:lang w:eastAsia="en-US"/>
        </w:rPr>
        <w:t xml:space="preserve">andatory </w:t>
      </w:r>
      <w:r w:rsidR="5D44840D" w:rsidRPr="4C23CE14">
        <w:rPr>
          <w:lang w:eastAsia="en-US"/>
        </w:rPr>
        <w:t xml:space="preserve">nature </w:t>
      </w:r>
      <w:r w:rsidR="003107E0" w:rsidRPr="4C23CE14">
        <w:rPr>
          <w:lang w:eastAsia="en-US"/>
        </w:rPr>
        <w:t>of minimum and advanced controls</w:t>
      </w:r>
      <w:r w:rsidR="40766757" w:rsidRPr="4C23CE14">
        <w:rPr>
          <w:lang w:eastAsia="en-US"/>
        </w:rPr>
        <w:t xml:space="preserve"> and the derrogation process was discussed.</w:t>
      </w:r>
    </w:p>
    <w:p w14:paraId="7FCD80AF" w14:textId="77777777" w:rsidR="001532FF" w:rsidRDefault="003107E0" w:rsidP="003107E0">
      <w:pPr>
        <w:pStyle w:val="ListParagraph"/>
        <w:numPr>
          <w:ilvl w:val="0"/>
          <w:numId w:val="9"/>
        </w:numPr>
        <w:jc w:val="both"/>
        <w:rPr>
          <w:lang w:eastAsia="en-US"/>
        </w:rPr>
      </w:pPr>
      <w:r w:rsidRPr="4C23CE14">
        <w:rPr>
          <w:lang w:eastAsia="en-US"/>
        </w:rPr>
        <w:t xml:space="preserve">Sub-groups presented the supply chain security mandatory aspects for procurement processes for entities to ensure cybersecurity of products supplied. </w:t>
      </w:r>
    </w:p>
    <w:p w14:paraId="1CADEC67" w14:textId="77777777" w:rsidR="001532FF" w:rsidRDefault="003107E0" w:rsidP="003107E0">
      <w:pPr>
        <w:pStyle w:val="ListParagraph"/>
        <w:numPr>
          <w:ilvl w:val="0"/>
          <w:numId w:val="9"/>
        </w:numPr>
        <w:jc w:val="both"/>
        <w:rPr>
          <w:lang w:eastAsia="en-US"/>
        </w:rPr>
      </w:pPr>
      <w:r w:rsidRPr="4C23CE14">
        <w:rPr>
          <w:lang w:eastAsia="en-US"/>
        </w:rPr>
        <w:t>Vice-chairperson thanked Supply Chain sub-group leader for his good work</w:t>
      </w:r>
      <w:r w:rsidR="001532FF" w:rsidRPr="4C23CE14">
        <w:rPr>
          <w:lang w:eastAsia="en-US"/>
        </w:rPr>
        <w:t>,</w:t>
      </w:r>
      <w:r w:rsidRPr="4C23CE14">
        <w:rPr>
          <w:lang w:eastAsia="en-US"/>
        </w:rPr>
        <w:t xml:space="preserve"> particularly regarding the visual aids</w:t>
      </w:r>
      <w:r w:rsidR="001532FF" w:rsidRPr="4C23CE14">
        <w:rPr>
          <w:lang w:eastAsia="en-US"/>
        </w:rPr>
        <w:t xml:space="preserve"> that help</w:t>
      </w:r>
      <w:r w:rsidRPr="4C23CE14">
        <w:rPr>
          <w:lang w:eastAsia="en-US"/>
        </w:rPr>
        <w:t xml:space="preserve"> to understand the content presented.</w:t>
      </w:r>
    </w:p>
    <w:p w14:paraId="1752C775" w14:textId="73E150C2" w:rsidR="001532FF" w:rsidRDefault="23E6B303" w:rsidP="003107E0">
      <w:pPr>
        <w:pStyle w:val="ListParagraph"/>
        <w:numPr>
          <w:ilvl w:val="0"/>
          <w:numId w:val="9"/>
        </w:numPr>
        <w:jc w:val="both"/>
        <w:rPr>
          <w:lang w:eastAsia="en-US"/>
        </w:rPr>
      </w:pPr>
      <w:r w:rsidRPr="4C23CE14">
        <w:rPr>
          <w:lang w:eastAsia="en-US"/>
        </w:rPr>
        <w:t>It was confirmed that a g</w:t>
      </w:r>
      <w:r w:rsidR="003107E0" w:rsidRPr="4C23CE14">
        <w:rPr>
          <w:lang w:eastAsia="en-US"/>
        </w:rPr>
        <w:t>raphic and visual material to portray transitional perio</w:t>
      </w:r>
      <w:r w:rsidR="0D757564" w:rsidRPr="4C23CE14">
        <w:rPr>
          <w:lang w:eastAsia="en-US"/>
        </w:rPr>
        <w:t xml:space="preserve">d </w:t>
      </w:r>
      <w:r w:rsidR="6F1895BC" w:rsidRPr="4C23CE14">
        <w:rPr>
          <w:lang w:eastAsia="en-US"/>
        </w:rPr>
        <w:t xml:space="preserve">will be </w:t>
      </w:r>
      <w:r w:rsidR="003107E0" w:rsidRPr="4C23CE14">
        <w:rPr>
          <w:lang w:eastAsia="en-US"/>
        </w:rPr>
        <w:t>included in the supporting document.</w:t>
      </w:r>
    </w:p>
    <w:p w14:paraId="4F0E64CC" w14:textId="52EF077D" w:rsidR="003107E0" w:rsidRDefault="6517E6D0" w:rsidP="003107E0">
      <w:pPr>
        <w:pStyle w:val="ListParagraph"/>
        <w:numPr>
          <w:ilvl w:val="0"/>
          <w:numId w:val="9"/>
        </w:numPr>
        <w:jc w:val="both"/>
        <w:rPr>
          <w:lang w:eastAsia="en-US"/>
        </w:rPr>
      </w:pPr>
      <w:r w:rsidRPr="4C23CE14">
        <w:rPr>
          <w:lang w:eastAsia="en-US"/>
        </w:rPr>
        <w:t>ENTSO-E Secretariat provided guidance about next steps regarding distribution and review of the draft text to the D</w:t>
      </w:r>
      <w:r w:rsidR="7081DC82" w:rsidRPr="4C23CE14">
        <w:rPr>
          <w:lang w:eastAsia="en-US"/>
        </w:rPr>
        <w:t>rafting Committee</w:t>
      </w:r>
      <w:r w:rsidRPr="4C23CE14">
        <w:rPr>
          <w:lang w:eastAsia="en-US"/>
        </w:rPr>
        <w:t>.</w:t>
      </w:r>
    </w:p>
    <w:p w14:paraId="10E23D6E" w14:textId="1AB1EDFC" w:rsidR="001532FF" w:rsidRDefault="15F46E32" w:rsidP="001532FF">
      <w:pPr>
        <w:pStyle w:val="ListParagraph"/>
        <w:numPr>
          <w:ilvl w:val="0"/>
          <w:numId w:val="9"/>
        </w:numPr>
        <w:jc w:val="both"/>
        <w:rPr>
          <w:lang w:eastAsia="en-US"/>
        </w:rPr>
      </w:pPr>
      <w:r w:rsidRPr="4C23CE14">
        <w:rPr>
          <w:lang w:eastAsia="en-US"/>
        </w:rPr>
        <w:t>It was advised that t</w:t>
      </w:r>
      <w:r w:rsidR="001532FF" w:rsidRPr="4C23CE14">
        <w:rPr>
          <w:lang w:eastAsia="en-US"/>
        </w:rPr>
        <w:t>he Drafting Committee and one-to-one meetings are the best way at this stage to incorporate and discuss comments</w:t>
      </w:r>
      <w:r w:rsidR="580D08BD" w:rsidRPr="4C23CE14">
        <w:rPr>
          <w:lang w:eastAsia="en-US"/>
        </w:rPr>
        <w:t>, rather than adding additional members to the development team subgroups.</w:t>
      </w:r>
    </w:p>
    <w:p w14:paraId="3EEC7EF1" w14:textId="79F5385B" w:rsidR="000F137C" w:rsidRPr="001532FF" w:rsidRDefault="001532FF" w:rsidP="000F137C">
      <w:pPr>
        <w:pStyle w:val="ListParagraph"/>
        <w:numPr>
          <w:ilvl w:val="0"/>
          <w:numId w:val="9"/>
        </w:numPr>
        <w:jc w:val="both"/>
        <w:rPr>
          <w:lang w:eastAsia="en-US"/>
        </w:rPr>
      </w:pPr>
      <w:r w:rsidRPr="4C23CE14">
        <w:rPr>
          <w:lang w:eastAsia="en-US"/>
        </w:rPr>
        <w:t>Drafting Committee Chairperson and Vice-Chairperson closed the meeting.</w:t>
      </w:r>
    </w:p>
    <w:p w14:paraId="7179958E" w14:textId="606B5D2C" w:rsidR="001532FF" w:rsidRDefault="001532FF" w:rsidP="000F137C">
      <w:pPr>
        <w:rPr>
          <w:color w:val="000000"/>
          <w:sz w:val="24"/>
          <w:szCs w:val="24"/>
        </w:rPr>
      </w:pPr>
    </w:p>
    <w:p w14:paraId="11E2531A" w14:textId="329AD86C" w:rsidR="001532FF" w:rsidRDefault="001532FF" w:rsidP="000F137C">
      <w:pPr>
        <w:rPr>
          <w:color w:val="000000"/>
          <w:sz w:val="24"/>
          <w:szCs w:val="24"/>
        </w:rPr>
      </w:pPr>
    </w:p>
    <w:p w14:paraId="796D881D" w14:textId="77777777" w:rsidR="001532FF" w:rsidRDefault="001532FF" w:rsidP="000F137C">
      <w:pPr>
        <w:rPr>
          <w:color w:val="000000"/>
          <w:sz w:val="24"/>
          <w:szCs w:val="24"/>
        </w:rPr>
      </w:pPr>
    </w:p>
    <w:tbl>
      <w:tblPr>
        <w:tblStyle w:val="GridTable4-Accent1"/>
        <w:tblW w:w="9776" w:type="dxa"/>
        <w:tblInd w:w="0" w:type="dxa"/>
        <w:tblLook w:val="04A0" w:firstRow="1" w:lastRow="0" w:firstColumn="1" w:lastColumn="0" w:noHBand="0" w:noVBand="1"/>
      </w:tblPr>
      <w:tblGrid>
        <w:gridCol w:w="2972"/>
        <w:gridCol w:w="2835"/>
        <w:gridCol w:w="3969"/>
      </w:tblGrid>
      <w:tr w:rsidR="000F137C" w14:paraId="66EE859C" w14:textId="77777777" w:rsidTr="00153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hideMark/>
          </w:tcPr>
          <w:p w14:paraId="11CEB42D" w14:textId="77777777" w:rsidR="000F137C" w:rsidRDefault="000F137C">
            <w:pPr>
              <w:rPr>
                <w:lang w:eastAsia="en-US"/>
              </w:rPr>
            </w:pPr>
            <w:r>
              <w:rPr>
                <w:lang w:eastAsia="en-US"/>
              </w:rPr>
              <w:t>Entity/Stakeholder</w:t>
            </w:r>
          </w:p>
        </w:tc>
        <w:tc>
          <w:tcPr>
            <w:tcW w:w="2835" w:type="dxa"/>
            <w:hideMark/>
          </w:tcPr>
          <w:p w14:paraId="41E2E6E8" w14:textId="77777777" w:rsidR="000F137C" w:rsidRDefault="000F1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Representative</w:t>
            </w:r>
          </w:p>
        </w:tc>
        <w:tc>
          <w:tcPr>
            <w:tcW w:w="3969" w:type="dxa"/>
            <w:hideMark/>
          </w:tcPr>
          <w:p w14:paraId="38C133D7" w14:textId="77777777" w:rsidR="000F137C" w:rsidRDefault="000F13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Alternate</w:t>
            </w:r>
          </w:p>
        </w:tc>
      </w:tr>
      <w:tr w:rsidR="000F137C" w14:paraId="41CF7D12" w14:textId="77777777" w:rsidTr="0015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6788AEF3" w14:textId="77777777" w:rsidR="000F137C" w:rsidRDefault="000F137C">
            <w:pPr>
              <w:rPr>
                <w:b w:val="0"/>
                <w:bCs w:val="0"/>
                <w:lang w:eastAsia="en-US"/>
              </w:rPr>
            </w:pPr>
            <w:r>
              <w:rPr>
                <w:lang w:eastAsia="en-US"/>
              </w:rPr>
              <w:t>ACER</w:t>
            </w:r>
          </w:p>
        </w:tc>
        <w:tc>
          <w:tcPr>
            <w:tcW w:w="283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01AC9518" w14:textId="77777777" w:rsidR="000F137C" w:rsidRDefault="000F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Manuel Sánchez Jiménez</w:t>
            </w:r>
          </w:p>
        </w:tc>
        <w:tc>
          <w:tcPr>
            <w:tcW w:w="396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54E07403" w14:textId="77777777" w:rsidR="000F137C" w:rsidRDefault="000F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Oyvind Arntzen Tofteegaard, Maria Barroso Gomes</w:t>
            </w:r>
          </w:p>
        </w:tc>
      </w:tr>
      <w:tr w:rsidR="000F137C" w14:paraId="5C1D64BE" w14:textId="77777777" w:rsidTr="0015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14B2E678" w14:textId="77777777" w:rsidR="000F137C" w:rsidRDefault="000F137C">
            <w:pPr>
              <w:rPr>
                <w:lang w:eastAsia="en-US"/>
              </w:rPr>
            </w:pPr>
            <w:r>
              <w:rPr>
                <w:lang w:eastAsia="en-US"/>
              </w:rPr>
              <w:t>EC</w:t>
            </w:r>
          </w:p>
        </w:tc>
        <w:tc>
          <w:tcPr>
            <w:tcW w:w="283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2E4044CA" w14:textId="77777777" w:rsidR="000F137C" w:rsidRDefault="000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Michaela Kollau</w:t>
            </w:r>
          </w:p>
        </w:tc>
        <w:tc>
          <w:tcPr>
            <w:tcW w:w="396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729BBFE3" w14:textId="77777777" w:rsidR="000F137C" w:rsidRDefault="000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Felipe Castro Barrigon</w:t>
            </w:r>
          </w:p>
        </w:tc>
      </w:tr>
      <w:tr w:rsidR="000F137C" w14:paraId="7970AEA7" w14:textId="77777777" w:rsidTr="0015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6EAEC1D6" w14:textId="77777777" w:rsidR="000F137C" w:rsidRDefault="000F137C">
            <w:pPr>
              <w:rPr>
                <w:lang w:eastAsia="en-US"/>
              </w:rPr>
            </w:pPr>
            <w:r>
              <w:rPr>
                <w:lang w:eastAsia="en-US"/>
              </w:rPr>
              <w:t>ENISA</w:t>
            </w:r>
          </w:p>
        </w:tc>
        <w:tc>
          <w:tcPr>
            <w:tcW w:w="283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414F0F66" w14:textId="77777777" w:rsidR="000F137C" w:rsidRDefault="000F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Konstantinos Moulinos</w:t>
            </w:r>
          </w:p>
        </w:tc>
        <w:tc>
          <w:tcPr>
            <w:tcW w:w="396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110EA22F" w14:textId="77777777" w:rsidR="000F137C" w:rsidRDefault="000F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Edgars Taurins</w:t>
            </w:r>
          </w:p>
        </w:tc>
      </w:tr>
      <w:tr w:rsidR="000F137C" w14:paraId="34630C81" w14:textId="77777777" w:rsidTr="0015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72E924BE" w14:textId="77777777" w:rsidR="000F137C" w:rsidRDefault="000F137C">
            <w:pPr>
              <w:rPr>
                <w:lang w:eastAsia="en-US"/>
              </w:rPr>
            </w:pPr>
            <w:r>
              <w:rPr>
                <w:lang w:eastAsia="en-US"/>
              </w:rPr>
              <w:t>ENTSO-E</w:t>
            </w:r>
          </w:p>
        </w:tc>
        <w:tc>
          <w:tcPr>
            <w:tcW w:w="283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75337266" w14:textId="77777777" w:rsidR="000F137C" w:rsidRDefault="000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Francesco Morelli</w:t>
            </w:r>
          </w:p>
        </w:tc>
        <w:tc>
          <w:tcPr>
            <w:tcW w:w="396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51B8AA1D" w14:textId="77777777" w:rsidR="000F137C" w:rsidRDefault="000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Julien Keller</w:t>
            </w:r>
          </w:p>
        </w:tc>
      </w:tr>
      <w:tr w:rsidR="000F137C" w14:paraId="47BF560A" w14:textId="77777777" w:rsidTr="0015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56E36EE7" w14:textId="77777777" w:rsidR="000F137C" w:rsidRDefault="000F137C">
            <w:pPr>
              <w:rPr>
                <w:lang w:eastAsia="en-US"/>
              </w:rPr>
            </w:pPr>
            <w:r>
              <w:rPr>
                <w:lang w:eastAsia="en-US"/>
              </w:rPr>
              <w:t>EU DSO Entity</w:t>
            </w:r>
          </w:p>
        </w:tc>
        <w:tc>
          <w:tcPr>
            <w:tcW w:w="283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6E227D0A" w14:textId="77777777" w:rsidR="000F137C" w:rsidRDefault="000F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Christiane Gabbe</w:t>
            </w:r>
          </w:p>
        </w:tc>
        <w:tc>
          <w:tcPr>
            <w:tcW w:w="396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3C23E2C4" w14:textId="77777777" w:rsidR="000F137C" w:rsidRDefault="000F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Bart Luijkx</w:t>
            </w:r>
          </w:p>
        </w:tc>
      </w:tr>
      <w:tr w:rsidR="000F137C" w14:paraId="25F22E71" w14:textId="77777777" w:rsidTr="0015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1254997F" w14:textId="77777777" w:rsidR="000F137C" w:rsidRDefault="000F137C">
            <w:pPr>
              <w:rPr>
                <w:lang w:eastAsia="en-US"/>
              </w:rPr>
            </w:pPr>
            <w:r>
              <w:rPr>
                <w:lang w:eastAsia="en-US"/>
              </w:rPr>
              <w:t>NIS Cooperation Group, Work Stream 8</w:t>
            </w:r>
          </w:p>
        </w:tc>
        <w:tc>
          <w:tcPr>
            <w:tcW w:w="283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52916B23" w14:textId="77777777" w:rsidR="000F137C" w:rsidRDefault="000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Vinzenz Heussler</w:t>
            </w:r>
          </w:p>
        </w:tc>
        <w:tc>
          <w:tcPr>
            <w:tcW w:w="396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2FC7FAED" w14:textId="77777777" w:rsidR="000F137C" w:rsidRDefault="000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Arno Spiegel</w:t>
            </w:r>
          </w:p>
        </w:tc>
      </w:tr>
      <w:tr w:rsidR="000F137C" w14:paraId="7DC62E41" w14:textId="77777777" w:rsidTr="0015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56EC5E72" w14:textId="77777777" w:rsidR="000F137C" w:rsidRDefault="000F137C">
            <w:pPr>
              <w:rPr>
                <w:lang w:eastAsia="en-US"/>
              </w:rPr>
            </w:pPr>
            <w:r>
              <w:rPr>
                <w:lang w:eastAsia="en-US"/>
              </w:rPr>
              <w:t>NEMO Committee</w:t>
            </w:r>
          </w:p>
        </w:tc>
        <w:tc>
          <w:tcPr>
            <w:tcW w:w="283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44F01A80" w14:textId="77777777" w:rsidR="000F137C" w:rsidRDefault="000F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Hilde Rosenblad</w:t>
            </w:r>
          </w:p>
        </w:tc>
        <w:tc>
          <w:tcPr>
            <w:tcW w:w="396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4A35673B" w14:textId="6E553500" w:rsidR="000F137C" w:rsidRDefault="000F1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Martina Gabriel, Katerina Novotna</w:t>
            </w:r>
            <w:r w:rsidR="001532FF">
              <w:rPr>
                <w:lang w:eastAsia="en-US"/>
              </w:rPr>
              <w:t>, Antoine Donne</w:t>
            </w:r>
          </w:p>
        </w:tc>
      </w:tr>
      <w:tr w:rsidR="000F137C" w14:paraId="53884A30" w14:textId="77777777" w:rsidTr="0015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36E95C10" w14:textId="77777777" w:rsidR="000F137C" w:rsidRDefault="000F137C">
            <w:pPr>
              <w:rPr>
                <w:lang w:eastAsia="en-US"/>
              </w:rPr>
            </w:pPr>
            <w:r>
              <w:rPr>
                <w:lang w:eastAsia="en-US"/>
              </w:rPr>
              <w:t>RCCs</w:t>
            </w:r>
          </w:p>
        </w:tc>
        <w:tc>
          <w:tcPr>
            <w:tcW w:w="283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hideMark/>
          </w:tcPr>
          <w:p w14:paraId="317DB3BF" w14:textId="77777777" w:rsidR="000F137C" w:rsidRDefault="000F1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Andrew Lorriman</w:t>
            </w:r>
          </w:p>
        </w:tc>
        <w:tc>
          <w:tcPr>
            <w:tcW w:w="396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E65695F" w14:textId="77777777" w:rsidR="000F137C" w:rsidRDefault="000F137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1532FF" w14:paraId="223D0E5D" w14:textId="77777777" w:rsidTr="0015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225AFE5" w14:textId="568D60F5" w:rsidR="001532FF" w:rsidRDefault="001532FF">
            <w:pPr>
              <w:rPr>
                <w:lang w:eastAsia="en-US"/>
              </w:rPr>
            </w:pPr>
            <w:r>
              <w:rPr>
                <w:lang w:eastAsia="en-US"/>
              </w:rPr>
              <w:t>SmartEN</w:t>
            </w:r>
          </w:p>
        </w:tc>
        <w:tc>
          <w:tcPr>
            <w:tcW w:w="283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AD9C6CC" w14:textId="29E9AECF" w:rsidR="001532FF" w:rsidRDefault="0015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Mario Jardim</w:t>
            </w:r>
          </w:p>
        </w:tc>
        <w:tc>
          <w:tcPr>
            <w:tcW w:w="396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FAC5B72" w14:textId="40DB9F6B" w:rsidR="001532FF" w:rsidRDefault="001532FF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Nicolas Roger-Machart</w:t>
            </w:r>
          </w:p>
        </w:tc>
      </w:tr>
      <w:tr w:rsidR="001532FF" w14:paraId="36DCCD5F" w14:textId="77777777" w:rsidTr="0015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3F6D29E" w14:textId="2F09DAE4" w:rsidR="001532FF" w:rsidRDefault="001532FF">
            <w:pPr>
              <w:rPr>
                <w:lang w:eastAsia="en-US"/>
              </w:rPr>
            </w:pPr>
            <w:r>
              <w:rPr>
                <w:lang w:eastAsia="en-US"/>
              </w:rPr>
              <w:t>T&amp;D Europe</w:t>
            </w:r>
          </w:p>
        </w:tc>
        <w:tc>
          <w:tcPr>
            <w:tcW w:w="283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EFAC062" w14:textId="50288383" w:rsidR="001532FF" w:rsidRDefault="00153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Volker Distelrath</w:t>
            </w:r>
          </w:p>
        </w:tc>
        <w:tc>
          <w:tcPr>
            <w:tcW w:w="3969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4B31FEF" w14:textId="35DA74D9" w:rsidR="001532FF" w:rsidRDefault="001532FF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Pascal Sitbon</w:t>
            </w:r>
          </w:p>
        </w:tc>
      </w:tr>
    </w:tbl>
    <w:p w14:paraId="7696C048" w14:textId="0E036177" w:rsidR="00EE63C6" w:rsidRDefault="000F137C" w:rsidP="001532FF">
      <w:pPr>
        <w:pStyle w:val="Caption"/>
        <w:jc w:val="center"/>
      </w:pPr>
      <w:r>
        <w:t>Drafting Committee constituency</w:t>
      </w:r>
    </w:p>
    <w:sectPr w:rsidR="00EE6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E66FF"/>
    <w:multiLevelType w:val="hybridMultilevel"/>
    <w:tmpl w:val="31469E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139B5"/>
    <w:multiLevelType w:val="hybridMultilevel"/>
    <w:tmpl w:val="2BE8C6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0C09"/>
    <w:multiLevelType w:val="hybridMultilevel"/>
    <w:tmpl w:val="7BA62F16"/>
    <w:lvl w:ilvl="0" w:tplc="8E5A9F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51896"/>
    <w:multiLevelType w:val="hybridMultilevel"/>
    <w:tmpl w:val="96EEB3EA"/>
    <w:lvl w:ilvl="0" w:tplc="25F22BB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3E3503"/>
    <w:multiLevelType w:val="hybridMultilevel"/>
    <w:tmpl w:val="D572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0ED0"/>
    <w:multiLevelType w:val="hybridMultilevel"/>
    <w:tmpl w:val="E716D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73FEA"/>
    <w:multiLevelType w:val="hybridMultilevel"/>
    <w:tmpl w:val="88A6D7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61C29"/>
    <w:multiLevelType w:val="hybridMultilevel"/>
    <w:tmpl w:val="924E2F0E"/>
    <w:lvl w:ilvl="0" w:tplc="24F89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1B"/>
    <w:rsid w:val="00074476"/>
    <w:rsid w:val="00085DA0"/>
    <w:rsid w:val="000F137C"/>
    <w:rsid w:val="00152F0E"/>
    <w:rsid w:val="001532FF"/>
    <w:rsid w:val="0023401F"/>
    <w:rsid w:val="003107E0"/>
    <w:rsid w:val="00315F38"/>
    <w:rsid w:val="003814BE"/>
    <w:rsid w:val="003F521B"/>
    <w:rsid w:val="00497689"/>
    <w:rsid w:val="0052307A"/>
    <w:rsid w:val="00692EBD"/>
    <w:rsid w:val="006A2068"/>
    <w:rsid w:val="0097675D"/>
    <w:rsid w:val="00A9153C"/>
    <w:rsid w:val="00C3584C"/>
    <w:rsid w:val="00C36E3A"/>
    <w:rsid w:val="00CA3AB5"/>
    <w:rsid w:val="00DB7F5A"/>
    <w:rsid w:val="00E54A0A"/>
    <w:rsid w:val="010FA401"/>
    <w:rsid w:val="04F7718D"/>
    <w:rsid w:val="07932DEB"/>
    <w:rsid w:val="082FBF70"/>
    <w:rsid w:val="08721A03"/>
    <w:rsid w:val="0D01C327"/>
    <w:rsid w:val="0D16D082"/>
    <w:rsid w:val="0D49A059"/>
    <w:rsid w:val="0D757564"/>
    <w:rsid w:val="0D94FA4C"/>
    <w:rsid w:val="0E2025BC"/>
    <w:rsid w:val="0E205CCC"/>
    <w:rsid w:val="0FD51E7A"/>
    <w:rsid w:val="1113FE7F"/>
    <w:rsid w:val="11D5344A"/>
    <w:rsid w:val="13FB90B0"/>
    <w:rsid w:val="1403E5CB"/>
    <w:rsid w:val="15F46E32"/>
    <w:rsid w:val="16FBA72F"/>
    <w:rsid w:val="179C6860"/>
    <w:rsid w:val="18DADDCF"/>
    <w:rsid w:val="1A240E2E"/>
    <w:rsid w:val="1B957B5B"/>
    <w:rsid w:val="1D8E3C18"/>
    <w:rsid w:val="1E0BA9E4"/>
    <w:rsid w:val="1FCAE25F"/>
    <w:rsid w:val="1FDA076D"/>
    <w:rsid w:val="21F98D0D"/>
    <w:rsid w:val="2299713A"/>
    <w:rsid w:val="2322E306"/>
    <w:rsid w:val="23689F37"/>
    <w:rsid w:val="23E6B303"/>
    <w:rsid w:val="29617EF9"/>
    <w:rsid w:val="2CDD5E9D"/>
    <w:rsid w:val="2DEB1FDA"/>
    <w:rsid w:val="2EBB3968"/>
    <w:rsid w:val="32F0E1C9"/>
    <w:rsid w:val="330EA39C"/>
    <w:rsid w:val="33C33A97"/>
    <w:rsid w:val="349AE4FD"/>
    <w:rsid w:val="388A222D"/>
    <w:rsid w:val="39A25E9F"/>
    <w:rsid w:val="3A0E8095"/>
    <w:rsid w:val="3A1CB9AF"/>
    <w:rsid w:val="3A71A813"/>
    <w:rsid w:val="3B9B1F5C"/>
    <w:rsid w:val="407516F9"/>
    <w:rsid w:val="40766757"/>
    <w:rsid w:val="415D6A38"/>
    <w:rsid w:val="4489DC9E"/>
    <w:rsid w:val="45045FC6"/>
    <w:rsid w:val="49604C1C"/>
    <w:rsid w:val="4C23CE14"/>
    <w:rsid w:val="4CAFD885"/>
    <w:rsid w:val="4D3B373A"/>
    <w:rsid w:val="4EDAA4C7"/>
    <w:rsid w:val="504EFFF3"/>
    <w:rsid w:val="524F15C3"/>
    <w:rsid w:val="52A09D83"/>
    <w:rsid w:val="5805D85F"/>
    <w:rsid w:val="580D08BD"/>
    <w:rsid w:val="5877BD8D"/>
    <w:rsid w:val="588301C5"/>
    <w:rsid w:val="5A35F89D"/>
    <w:rsid w:val="5BAF306A"/>
    <w:rsid w:val="5C80DFF6"/>
    <w:rsid w:val="5D44840D"/>
    <w:rsid w:val="5DAA23AF"/>
    <w:rsid w:val="5E24A98A"/>
    <w:rsid w:val="5E656607"/>
    <w:rsid w:val="5F6025F3"/>
    <w:rsid w:val="6015CEEB"/>
    <w:rsid w:val="615C4A4C"/>
    <w:rsid w:val="623CCE97"/>
    <w:rsid w:val="633FD423"/>
    <w:rsid w:val="63839C22"/>
    <w:rsid w:val="64339716"/>
    <w:rsid w:val="64C27C27"/>
    <w:rsid w:val="6517E6D0"/>
    <w:rsid w:val="67C52C50"/>
    <w:rsid w:val="68B1FF58"/>
    <w:rsid w:val="68DF905F"/>
    <w:rsid w:val="6938B541"/>
    <w:rsid w:val="6A2F4A12"/>
    <w:rsid w:val="6DE8C86C"/>
    <w:rsid w:val="6F1895BC"/>
    <w:rsid w:val="70052ECE"/>
    <w:rsid w:val="7081DC82"/>
    <w:rsid w:val="733CCF90"/>
    <w:rsid w:val="782D651F"/>
    <w:rsid w:val="7875506B"/>
    <w:rsid w:val="7D0EDA0A"/>
    <w:rsid w:val="7F8FF532"/>
    <w:rsid w:val="7F9CE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3124"/>
  <w15:chartTrackingRefBased/>
  <w15:docId w15:val="{038E7C34-D65E-4C06-9E83-A9FEFE1A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1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21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F521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5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84C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84C"/>
    <w:rPr>
      <w:rFonts w:ascii="Calibri" w:hAnsi="Calibri" w:cs="Calibri"/>
      <w:b/>
      <w:bCs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0F137C"/>
    <w:pPr>
      <w:spacing w:after="200"/>
    </w:pPr>
    <w:rPr>
      <w:i/>
      <w:iCs/>
      <w:color w:val="44546A" w:themeColor="text2"/>
      <w:sz w:val="18"/>
      <w:szCs w:val="18"/>
    </w:rPr>
  </w:style>
  <w:style w:type="table" w:styleId="GridTable4-Accent1">
    <w:name w:val="Grid Table 4 Accent 1"/>
    <w:basedOn w:val="TableNormal"/>
    <w:uiPriority w:val="49"/>
    <w:rsid w:val="000F137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CA3AB5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2C26-6BC1-4E4D-899D-5D673AE3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Dege</dc:creator>
  <cp:keywords/>
  <dc:description/>
  <cp:lastModifiedBy>Daiga Dege</cp:lastModifiedBy>
  <cp:revision>2</cp:revision>
  <dcterms:created xsi:type="dcterms:W3CDTF">2021-11-05T15:57:00Z</dcterms:created>
  <dcterms:modified xsi:type="dcterms:W3CDTF">2021-11-05T15:57:00Z</dcterms:modified>
</cp:coreProperties>
</file>